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18-2/10/В-2575 от 11 апреля 2018 г.</w:t>
      </w:r>
    </w:p>
    <w:p>
      <w:pPr>
        <w:pStyle w:val="Heading2"/>
        <w:rPr/>
      </w:pPr>
      <w:r>
        <w:rPr/>
        <w:t>Федеральные государственные органы</w:t>
        <w:br/>
        <w:t>Высшие органы исполнительной власти субъектов Российской Федерации</w:t>
        <w:br/>
        <w:t>Организации</w:t>
        <w:br/>
        <w:t>Центральный банк Российской Федерации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 </w:t>
      </w:r>
    </w:p>
    <w:p>
      <w:pPr>
        <w:pStyle w:val="TextBody"/>
        <w:rPr/>
      </w:pPr>
      <w:r>
        <w:rPr/>
        <w:t xml:space="preserve">Антикоррупционным законодательством Российской Федерации для отдельных категорий лиц установлены запреты: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прямо и косвенно владеть и (или) пользоваться иностранными финансовыми инструментами. </w:t>
      </w:r>
    </w:p>
    <w:p>
      <w:pPr>
        <w:pStyle w:val="TextBody"/>
        <w:rPr/>
      </w:pPr>
      <w:r>
        <w:rPr/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>
      <w:pPr>
        <w:pStyle w:val="TextBody"/>
        <w:rPr/>
      </w:pPr>
      <w:r>
        <w:rPr/>
        <w:t xml:space="preserve"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 </w:t>
      </w:r>
    </w:p>
    <w:p>
      <w:pPr>
        <w:pStyle w:val="TextBody"/>
        <w:rPr/>
      </w:pPr>
      <w:r>
        <w:rPr/>
        <w:t xml:space="preserve"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>
      <w:pPr>
        <w:pStyle w:val="TextBody"/>
        <w:rPr/>
      </w:pPr>
      <w:r>
        <w:rPr/>
        <w:t xml:space="preserve"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 </w:t>
      </w:r>
    </w:p>
    <w:p>
      <w:pPr>
        <w:pStyle w:val="TextBody"/>
        <w:rPr/>
      </w:pPr>
      <w:r>
        <w:rPr/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>
      <w:pPr>
        <w:pStyle w:val="TextBody"/>
        <w:rPr/>
      </w:pPr>
      <w:r>
        <w:rPr/>
        <w:t xml:space="preserve"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>
      <w:pPr>
        <w:pStyle w:val="TextBody"/>
        <w:rPr/>
      </w:pPr>
      <w:r>
        <w:rPr/>
        <w:t xml:space="preserve"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владение которыми приводит или может привести к конфликту интересов;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являющихся иностранными финансовыми инструментами. </w:t>
      </w:r>
    </w:p>
    <w:p>
      <w:pPr>
        <w:pStyle w:val="TextBody"/>
        <w:rPr/>
      </w:pPr>
      <w:r>
        <w:rPr/>
        <w:t xml:space="preserve"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 </w:t>
      </w:r>
    </w:p>
    <w:p>
      <w:pPr>
        <w:pStyle w:val="TextBody"/>
        <w:rPr/>
      </w:pPr>
      <w:r>
        <w:rPr/>
        <w:t xml:space="preserve">Также в разделе 5 справки подлежат отражению сведения об имеющихся на отчетную дату ценных бумагах. </w:t>
      </w:r>
    </w:p>
    <w:p>
      <w:pPr>
        <w:pStyle w:val="TextBody"/>
        <w:rPr/>
      </w:pPr>
      <w:r>
        <w:rPr/>
        <w:t xml:space="preserve"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 </w:t>
      </w:r>
    </w:p>
    <w:p>
      <w:pPr>
        <w:pStyle w:val="TextBody"/>
        <w:rPr/>
      </w:pPr>
      <w:r>
        <w:rPr/>
        <w:t xml:space="preserve">Просим довести указанную информацию до сведения заинтересованных лиц и учитывать при применении законодательства о противодействии коррупции.  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А.А. Черкасов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