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58F" w:rsidRPr="00FD7D28" w:rsidRDefault="00FD7D28" w:rsidP="0098558F">
      <w:pPr>
        <w:spacing w:after="60"/>
        <w:jc w:val="right"/>
        <w:rPr>
          <w:sz w:val="22"/>
          <w:szCs w:val="22"/>
        </w:rPr>
      </w:pPr>
      <w:r>
        <w:rPr>
          <w:sz w:val="18"/>
          <w:szCs w:val="18"/>
        </w:rPr>
        <w:t xml:space="preserve">Приложение </w:t>
      </w:r>
      <w:r w:rsidR="00B035DF">
        <w:rPr>
          <w:sz w:val="18"/>
          <w:szCs w:val="18"/>
        </w:rPr>
        <w:t xml:space="preserve"> 12</w:t>
      </w:r>
    </w:p>
    <w:p w:rsidR="0098558F" w:rsidRDefault="0098558F" w:rsidP="0098558F">
      <w:pPr>
        <w:spacing w:line="240" w:lineRule="atLeas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приказу «Об учетной политике </w:t>
      </w:r>
    </w:p>
    <w:p w:rsidR="0098558F" w:rsidRDefault="0098558F" w:rsidP="0098558F">
      <w:pPr>
        <w:spacing w:line="240" w:lineRule="atLeas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в целях бухгалтерского учета </w:t>
      </w:r>
    </w:p>
    <w:p w:rsidR="0098558F" w:rsidRDefault="0098558F" w:rsidP="0098558F">
      <w:pPr>
        <w:spacing w:line="240" w:lineRule="atLeast"/>
        <w:jc w:val="right"/>
        <w:rPr>
          <w:sz w:val="18"/>
          <w:szCs w:val="18"/>
        </w:rPr>
      </w:pPr>
      <w:r>
        <w:rPr>
          <w:sz w:val="18"/>
          <w:szCs w:val="18"/>
        </w:rPr>
        <w:t>бюджетного  учреждения»</w:t>
      </w:r>
    </w:p>
    <w:p w:rsidR="0030336D" w:rsidRDefault="009711F2" w:rsidP="0030336D">
      <w:pPr>
        <w:pStyle w:val="23"/>
        <w:shd w:val="clear" w:color="auto" w:fill="auto"/>
        <w:tabs>
          <w:tab w:val="left" w:pos="9354"/>
        </w:tabs>
        <w:spacing w:after="303" w:line="260" w:lineRule="exact"/>
        <w:ind w:right="-2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от «30</w:t>
      </w:r>
      <w:r w:rsidR="00F54A5E">
        <w:rPr>
          <w:sz w:val="18"/>
          <w:szCs w:val="18"/>
        </w:rPr>
        <w:t>» декабря 201</w:t>
      </w:r>
      <w:r>
        <w:rPr>
          <w:sz w:val="18"/>
          <w:szCs w:val="18"/>
        </w:rPr>
        <w:t>9</w:t>
      </w:r>
      <w:r w:rsidR="00F54A5E">
        <w:rPr>
          <w:sz w:val="18"/>
          <w:szCs w:val="18"/>
        </w:rPr>
        <w:t xml:space="preserve"> г. № </w:t>
      </w:r>
      <w:r>
        <w:rPr>
          <w:sz w:val="18"/>
          <w:szCs w:val="18"/>
        </w:rPr>
        <w:t>155</w:t>
      </w:r>
    </w:p>
    <w:p w:rsidR="00750BC0" w:rsidRDefault="00750BC0">
      <w:pPr>
        <w:spacing w:after="60"/>
        <w:jc w:val="right"/>
        <w:rPr>
          <w:sz w:val="18"/>
        </w:rPr>
      </w:pPr>
    </w:p>
    <w:p w:rsidR="00750BC0" w:rsidRDefault="00750BC0">
      <w:pPr>
        <w:spacing w:after="60"/>
        <w:jc w:val="center"/>
        <w:rPr>
          <w:sz w:val="18"/>
        </w:rPr>
      </w:pPr>
    </w:p>
    <w:p w:rsidR="00750BC0" w:rsidRDefault="00750BC0">
      <w:pPr>
        <w:spacing w:after="60"/>
        <w:jc w:val="center"/>
        <w:rPr>
          <w:sz w:val="18"/>
        </w:rPr>
      </w:pPr>
    </w:p>
    <w:p w:rsidR="00750BC0" w:rsidRPr="00B32748" w:rsidRDefault="00750BC0">
      <w:pPr>
        <w:spacing w:after="60"/>
        <w:jc w:val="center"/>
        <w:rPr>
          <w:b/>
          <w:sz w:val="24"/>
          <w:szCs w:val="24"/>
        </w:rPr>
      </w:pPr>
      <w:r w:rsidRPr="00B32748">
        <w:rPr>
          <w:b/>
          <w:sz w:val="24"/>
          <w:szCs w:val="24"/>
        </w:rPr>
        <w:t>Порядок</w:t>
      </w:r>
    </w:p>
    <w:p w:rsidR="00750BC0" w:rsidRPr="00B32748" w:rsidRDefault="00750BC0">
      <w:pPr>
        <w:jc w:val="center"/>
        <w:rPr>
          <w:b/>
          <w:sz w:val="24"/>
          <w:szCs w:val="24"/>
        </w:rPr>
      </w:pPr>
      <w:r w:rsidRPr="00B32748">
        <w:rPr>
          <w:b/>
          <w:sz w:val="24"/>
          <w:szCs w:val="24"/>
        </w:rPr>
        <w:t>документального оформления восстановления объектов нефинансовых активов</w:t>
      </w:r>
    </w:p>
    <w:p w:rsidR="00750BC0" w:rsidRPr="00B32748" w:rsidRDefault="00750BC0">
      <w:pPr>
        <w:jc w:val="center"/>
        <w:rPr>
          <w:b/>
          <w:sz w:val="24"/>
          <w:szCs w:val="24"/>
        </w:rPr>
      </w:pPr>
      <w:r w:rsidRPr="00B32748">
        <w:rPr>
          <w:b/>
          <w:sz w:val="24"/>
          <w:szCs w:val="24"/>
        </w:rPr>
        <w:t>и изменения их первоначальной стоимости</w:t>
      </w:r>
    </w:p>
    <w:p w:rsidR="00750BC0" w:rsidRPr="00B32748" w:rsidRDefault="00750BC0">
      <w:pPr>
        <w:spacing w:line="360" w:lineRule="auto"/>
        <w:jc w:val="both"/>
        <w:rPr>
          <w:sz w:val="24"/>
          <w:szCs w:val="24"/>
        </w:rPr>
      </w:pPr>
    </w:p>
    <w:p w:rsidR="00750BC0" w:rsidRPr="00B32748" w:rsidRDefault="00750BC0">
      <w:pPr>
        <w:pStyle w:val="a4"/>
        <w:jc w:val="both"/>
        <w:rPr>
          <w:sz w:val="24"/>
          <w:szCs w:val="24"/>
        </w:rPr>
      </w:pPr>
      <w:r w:rsidRPr="00B32748">
        <w:rPr>
          <w:sz w:val="24"/>
          <w:szCs w:val="24"/>
        </w:rPr>
        <w:t>В ходе эксплуатации объектов нефинансовых активов, находящихся под материальной ответственностью должностных лиц в ведении структурных подразделений учреждения, включая обособленные подразделения, наделенные частичными правомочиями юридического лица в части ведения бухгалтерского учета и отдельного баланса, они подлежат восстановлению способом ремонта (текущий, капитальный), а также способом модернизации и реконструкции, частичной ликвидации (разукомплектации), а также переоценки. В целях производственной необходимости нефинансовые активы могут быть достроены и дооборудованы.</w:t>
      </w:r>
    </w:p>
    <w:p w:rsidR="00750BC0" w:rsidRPr="00B32748" w:rsidRDefault="00750BC0">
      <w:pPr>
        <w:pStyle w:val="a4"/>
        <w:jc w:val="both"/>
        <w:rPr>
          <w:sz w:val="24"/>
          <w:szCs w:val="24"/>
        </w:rPr>
      </w:pPr>
      <w:r w:rsidRPr="00B32748">
        <w:rPr>
          <w:sz w:val="24"/>
          <w:szCs w:val="24"/>
        </w:rPr>
        <w:t>Для целей применения настоящего порядка использовать следующие определения:</w:t>
      </w:r>
    </w:p>
    <w:p w:rsidR="00750BC0" w:rsidRPr="00B32748" w:rsidRDefault="00750BC0">
      <w:pPr>
        <w:pStyle w:val="a4"/>
        <w:jc w:val="both"/>
        <w:rPr>
          <w:sz w:val="24"/>
          <w:szCs w:val="24"/>
        </w:rPr>
      </w:pPr>
      <w:r w:rsidRPr="00B32748">
        <w:rPr>
          <w:b/>
          <w:sz w:val="24"/>
          <w:szCs w:val="24"/>
        </w:rPr>
        <w:t xml:space="preserve">Текущий ремонт – </w:t>
      </w:r>
      <w:r w:rsidRPr="00B32748">
        <w:rPr>
          <w:sz w:val="24"/>
          <w:szCs w:val="24"/>
        </w:rPr>
        <w:t>ремонт нефинансовых активов с целью поддержания объекта в рабочем состоянии без улучшения его эксплуатационных показателей;</w:t>
      </w:r>
    </w:p>
    <w:p w:rsidR="00750BC0" w:rsidRPr="00B32748" w:rsidRDefault="00750BC0">
      <w:pPr>
        <w:pStyle w:val="a4"/>
        <w:ind w:left="720" w:hanging="720"/>
        <w:jc w:val="both"/>
        <w:rPr>
          <w:sz w:val="24"/>
          <w:szCs w:val="24"/>
        </w:rPr>
      </w:pPr>
      <w:r w:rsidRPr="00B32748">
        <w:rPr>
          <w:b/>
          <w:sz w:val="24"/>
          <w:szCs w:val="24"/>
        </w:rPr>
        <w:t>Капитальный ремонт</w:t>
      </w:r>
      <w:r w:rsidRPr="00B32748">
        <w:rPr>
          <w:sz w:val="24"/>
          <w:szCs w:val="24"/>
        </w:rPr>
        <w:t xml:space="preserve"> – ремонт нефинансовых активов с целью восстановления исправности (работоспособности) его конструкций и систем, а также поддержания его эксплуатационных показателей. Капитальный ремонт включает в себя устранение неисправностей всех изношенных элементов, восстановление или замену (кроме полной замены каменных и бетонных фундаментов зданий, несущих стен и каркасов) их на более долговечные и экономичные, улучшающие эксплуатационные показатели ремонтируемых объектов.</w:t>
      </w:r>
    </w:p>
    <w:p w:rsidR="00750BC0" w:rsidRPr="00B32748" w:rsidRDefault="00750BC0">
      <w:pPr>
        <w:pStyle w:val="a4"/>
        <w:ind w:left="720" w:hanging="720"/>
        <w:jc w:val="both"/>
        <w:rPr>
          <w:sz w:val="24"/>
          <w:szCs w:val="24"/>
        </w:rPr>
      </w:pPr>
      <w:r w:rsidRPr="00B32748">
        <w:rPr>
          <w:b/>
          <w:sz w:val="24"/>
          <w:szCs w:val="24"/>
        </w:rPr>
        <w:t>Модернизация</w:t>
      </w:r>
      <w:r w:rsidRPr="00B32748">
        <w:rPr>
          <w:sz w:val="24"/>
          <w:szCs w:val="24"/>
        </w:rPr>
        <w:t xml:space="preserve"> – усовершенствование, улучшение, обновление нефинансовых активов, приведение его в соответствие с новыми требованиями и нормами, техническими условиями, показателями качества. Модернизации подлежат машины, оборудование, технологические процессы. (Универсальный бизнес - словарь 1997 г.).</w:t>
      </w:r>
    </w:p>
    <w:p w:rsidR="00750BC0" w:rsidRPr="00B32748" w:rsidRDefault="00750B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2748">
        <w:rPr>
          <w:rFonts w:ascii="Times New Roman" w:hAnsi="Times New Roman" w:cs="Times New Roman"/>
          <w:b/>
          <w:sz w:val="24"/>
          <w:szCs w:val="24"/>
        </w:rPr>
        <w:t>Реконструкция</w:t>
      </w:r>
      <w:r w:rsidRPr="00B32748">
        <w:rPr>
          <w:rFonts w:ascii="Times New Roman" w:hAnsi="Times New Roman" w:cs="Times New Roman"/>
          <w:sz w:val="24"/>
          <w:szCs w:val="24"/>
        </w:rPr>
        <w:t xml:space="preserve"> – переустройство существующих объектов основных средств, связанное с совершенствованием производства и повышением его технико-экономических показателей и осуществляемое по проекту реконструкции основных средств в целях увеличения производственных мощностей, улучшения качества и изменения номенклатуры продукции</w:t>
      </w:r>
      <w:r w:rsidRPr="00B32748">
        <w:rPr>
          <w:sz w:val="24"/>
          <w:szCs w:val="24"/>
        </w:rPr>
        <w:t xml:space="preserve"> </w:t>
      </w:r>
      <w:r w:rsidRPr="00B32748">
        <w:rPr>
          <w:rFonts w:ascii="Times New Roman" w:hAnsi="Times New Roman" w:cs="Times New Roman"/>
          <w:sz w:val="24"/>
          <w:szCs w:val="24"/>
        </w:rPr>
        <w:t>(пункт 2 ст.257 гл.25 НК РФ).</w:t>
      </w:r>
    </w:p>
    <w:p w:rsidR="00750BC0" w:rsidRPr="00B32748" w:rsidRDefault="00750BC0">
      <w:pPr>
        <w:pStyle w:val="a4"/>
        <w:ind w:left="720" w:hanging="720"/>
        <w:jc w:val="both"/>
        <w:rPr>
          <w:sz w:val="24"/>
          <w:szCs w:val="24"/>
        </w:rPr>
      </w:pPr>
      <w:r w:rsidRPr="00B32748">
        <w:rPr>
          <w:b/>
          <w:sz w:val="24"/>
          <w:szCs w:val="24"/>
        </w:rPr>
        <w:t>Реконструкция здания</w:t>
      </w:r>
      <w:r w:rsidRPr="00B32748">
        <w:rPr>
          <w:sz w:val="24"/>
          <w:szCs w:val="24"/>
        </w:rPr>
        <w:t xml:space="preserve"> – комплекс строительных работ и организационно-технических мероприятий, связанных с изменением основных технико-экономических показателей действующего здания (количество и площади помещений, строительного объема и общей площади здания, вместимость, пропускная способность и т.п.) или его назначения, в целях улучшения условий эксплуатации, качества обслуживания, увеличения объема услуг. Реконструкция зданий может включать в себя изменение планировки помещений, возведение надстроек, встроек, пристроек, в том числе их частичную разборку; повышение уровня инженерного оборудования, включая реконструкцию инженерных сетей (кроме магистральных); улучшение архитектурной выразительности.</w:t>
      </w:r>
    </w:p>
    <w:p w:rsidR="00750BC0" w:rsidRPr="00B32748" w:rsidRDefault="00750BC0">
      <w:pPr>
        <w:pStyle w:val="a4"/>
        <w:ind w:left="720" w:hanging="720"/>
        <w:jc w:val="both"/>
        <w:rPr>
          <w:sz w:val="24"/>
          <w:szCs w:val="24"/>
        </w:rPr>
      </w:pPr>
      <w:r w:rsidRPr="00B32748">
        <w:rPr>
          <w:b/>
          <w:sz w:val="24"/>
          <w:szCs w:val="24"/>
        </w:rPr>
        <w:t>Достройка</w:t>
      </w:r>
      <w:r w:rsidRPr="00B32748">
        <w:rPr>
          <w:sz w:val="24"/>
          <w:szCs w:val="24"/>
        </w:rPr>
        <w:t xml:space="preserve"> – комплекс строительных работ, связанных с расширением действующих объектов нефинансовых активов, включая строительство основных, </w:t>
      </w:r>
      <w:r w:rsidRPr="00B32748">
        <w:rPr>
          <w:sz w:val="24"/>
          <w:szCs w:val="24"/>
        </w:rPr>
        <w:lastRenderedPageBreak/>
        <w:t>вспомогательных и обслуживающих объектов, филиалов с целью создания дополнительных или новых мощностей.</w:t>
      </w:r>
    </w:p>
    <w:p w:rsidR="00750BC0" w:rsidRPr="00B32748" w:rsidRDefault="00750BC0">
      <w:pPr>
        <w:autoSpaceDE w:val="0"/>
        <w:autoSpaceDN w:val="0"/>
        <w:adjustRightInd w:val="0"/>
        <w:ind w:left="720" w:hanging="720"/>
        <w:jc w:val="both"/>
        <w:rPr>
          <w:color w:val="000000"/>
          <w:sz w:val="24"/>
          <w:szCs w:val="24"/>
        </w:rPr>
      </w:pPr>
      <w:r w:rsidRPr="00B32748">
        <w:rPr>
          <w:b/>
          <w:sz w:val="24"/>
          <w:szCs w:val="24"/>
        </w:rPr>
        <w:t>Дооборудование</w:t>
      </w:r>
      <w:r w:rsidRPr="00B32748">
        <w:rPr>
          <w:sz w:val="24"/>
          <w:szCs w:val="24"/>
        </w:rPr>
        <w:t xml:space="preserve"> – комплекс организационно-технических мероприятий, включающих в себя приобретение и монтаж </w:t>
      </w:r>
      <w:r w:rsidRPr="00B32748">
        <w:rPr>
          <w:b/>
          <w:i/>
          <w:sz w:val="24"/>
          <w:szCs w:val="24"/>
        </w:rPr>
        <w:t>отсутствовавших ранее</w:t>
      </w:r>
      <w:r w:rsidRPr="00B32748">
        <w:rPr>
          <w:sz w:val="24"/>
          <w:szCs w:val="24"/>
        </w:rPr>
        <w:t xml:space="preserve"> элементов инженерно-технического оборудования, систем </w:t>
      </w:r>
      <w:r w:rsidRPr="00B32748">
        <w:rPr>
          <w:color w:val="000000"/>
          <w:sz w:val="24"/>
          <w:szCs w:val="24"/>
        </w:rPr>
        <w:t>отопления, включая котельную установку для отопления (если последняя находится в самом здании); внутренней сети водопровода, газопровода и канализации со всеми устройствами; внутренней сети силовой и осветительной электропроводки со всей осветительной арматурой; внутренней телефонной и сигнализационной сети; вентиляционных устройств общесанитарного назначения; подъемников и лифтов и т.п.</w:t>
      </w:r>
    </w:p>
    <w:p w:rsidR="00750BC0" w:rsidRPr="00B32748" w:rsidRDefault="00750BC0">
      <w:pPr>
        <w:pStyle w:val="a4"/>
        <w:ind w:left="720" w:hanging="720"/>
        <w:jc w:val="both"/>
        <w:rPr>
          <w:sz w:val="24"/>
          <w:szCs w:val="24"/>
        </w:rPr>
      </w:pPr>
      <w:r w:rsidRPr="00B32748">
        <w:rPr>
          <w:b/>
          <w:sz w:val="24"/>
          <w:szCs w:val="24"/>
        </w:rPr>
        <w:t>Техническое перевооружение</w:t>
      </w:r>
      <w:r w:rsidRPr="00B32748">
        <w:rPr>
          <w:sz w:val="24"/>
          <w:szCs w:val="24"/>
        </w:rPr>
        <w:t xml:space="preserve"> – комплекс мероприятий по повышению технико-экономических показателей основных средств или их отдельных частей на основе внедрения передовой техники и технологии, механизации и автоматизации производства, модернизации и замены морально устаревшего и физически изношенного оборудования новым, более производительным (пункт 2 ст.257 гл.25 НК РФ).</w:t>
      </w:r>
    </w:p>
    <w:p w:rsidR="00750BC0" w:rsidRPr="00B32748" w:rsidRDefault="00750BC0">
      <w:pPr>
        <w:ind w:firstLine="709"/>
        <w:jc w:val="both"/>
        <w:rPr>
          <w:sz w:val="24"/>
          <w:szCs w:val="24"/>
        </w:rPr>
      </w:pPr>
      <w:r w:rsidRPr="00B32748">
        <w:rPr>
          <w:sz w:val="24"/>
          <w:szCs w:val="24"/>
        </w:rPr>
        <w:t>В случаях улучшения (повышения) первоначально принятых нормативных показателей функционирования объекта нефинансовых активов в результате проведенной достройки, дооборудования, реконструкции или модернизации учреждение пересматривает срок полезного использования по этому объекту.</w:t>
      </w:r>
    </w:p>
    <w:p w:rsidR="00750BC0" w:rsidRPr="00B32748" w:rsidRDefault="00750BC0">
      <w:pPr>
        <w:pStyle w:val="a4"/>
        <w:jc w:val="both"/>
        <w:rPr>
          <w:sz w:val="24"/>
          <w:szCs w:val="24"/>
        </w:rPr>
      </w:pPr>
      <w:r w:rsidRPr="00B32748">
        <w:rPr>
          <w:sz w:val="24"/>
          <w:szCs w:val="24"/>
        </w:rPr>
        <w:t>В соответствии с пунктом 27 раздела 2 приказа Минфина РФ от 01.12.2010 №157н «Об утверждении инструкции по</w:t>
      </w:r>
      <w:r w:rsidRPr="00B32748">
        <w:rPr>
          <w:snapToGrid w:val="0"/>
          <w:sz w:val="24"/>
          <w:szCs w:val="24"/>
        </w:rPr>
        <w:t xml:space="preserve"> применению «Единого плана счетов бухгалтерского учета для государственных органов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</w:t>
      </w:r>
      <w:r w:rsidRPr="00B32748">
        <w:rPr>
          <w:sz w:val="24"/>
          <w:szCs w:val="24"/>
        </w:rPr>
        <w:t>» принятые к учету и эксплуатации объекты нефинансовых активов в первоначальной стоимости, могут изменять свою стоимость в результате достройки, дооборудования, реконструкции, модернизации, частичной ликвидации (разукомплектации), а также переоценки объектов нефинансовых активов.</w:t>
      </w:r>
    </w:p>
    <w:p w:rsidR="00750BC0" w:rsidRPr="00B32748" w:rsidRDefault="00750BC0">
      <w:pPr>
        <w:pStyle w:val="a4"/>
        <w:jc w:val="both"/>
        <w:rPr>
          <w:sz w:val="24"/>
          <w:szCs w:val="24"/>
        </w:rPr>
      </w:pPr>
      <w:r w:rsidRPr="00B32748">
        <w:rPr>
          <w:sz w:val="24"/>
          <w:szCs w:val="24"/>
        </w:rPr>
        <w:t xml:space="preserve">Все объекты основных средств (здания, сооружения, машины и оборудование и т.п.) подлежат текущему и капитальному ремонту, модернизации и реконструкции, достройке или дооборудованию согласно утвержденному в установленном порядке плану капитального ремонта, модернизации и реконструкции объектов основных средств (далее план КР). Проект плана КР утверждается при наличии проектно-сметной документации по каждому объекту, подлежащему ремонту, модернизации или реконструкции и включается в суммовых показателях в смету расходов текущего финансового года в пределах </w:t>
      </w:r>
      <w:r w:rsidR="00390A4D" w:rsidRPr="00B32748">
        <w:rPr>
          <w:sz w:val="24"/>
          <w:szCs w:val="24"/>
        </w:rPr>
        <w:t>Плана ФХД</w:t>
      </w:r>
      <w:r w:rsidRPr="00B32748">
        <w:rPr>
          <w:sz w:val="24"/>
          <w:szCs w:val="24"/>
        </w:rPr>
        <w:t>. Проектно-сметная документаци</w:t>
      </w:r>
      <w:r w:rsidR="00390A4D" w:rsidRPr="00B32748">
        <w:rPr>
          <w:sz w:val="24"/>
          <w:szCs w:val="24"/>
        </w:rPr>
        <w:t>я разрабатывается с</w:t>
      </w:r>
      <w:r w:rsidRPr="00B32748">
        <w:rPr>
          <w:sz w:val="24"/>
          <w:szCs w:val="24"/>
        </w:rPr>
        <w:t>пециализированными проектными организациями с обязательным составлением дефектных ведомостей или актов технического состояния объекта основных средств. При подготовке проектно-сметной документации по восстановлению транспортных средств, акт технического состояния заменяется заполнением соответствующих разделов журнала транспортного средства.</w:t>
      </w:r>
    </w:p>
    <w:p w:rsidR="00750BC0" w:rsidRPr="00B32748" w:rsidRDefault="00750BC0">
      <w:pPr>
        <w:pStyle w:val="a4"/>
        <w:jc w:val="both"/>
        <w:rPr>
          <w:sz w:val="24"/>
          <w:szCs w:val="24"/>
        </w:rPr>
      </w:pPr>
      <w:r w:rsidRPr="00B32748">
        <w:rPr>
          <w:sz w:val="24"/>
          <w:szCs w:val="24"/>
        </w:rPr>
        <w:t>В соответствии с классификатором ОКОФ все основные средства и нематериальные активы подлежат отнесению к следующим подразделам:</w:t>
      </w:r>
    </w:p>
    <w:p w:rsidR="00750BC0" w:rsidRPr="00B32748" w:rsidRDefault="00750BC0">
      <w:pPr>
        <w:pStyle w:val="20"/>
        <w:rPr>
          <w:sz w:val="24"/>
          <w:szCs w:val="24"/>
        </w:rPr>
      </w:pPr>
      <w:r w:rsidRPr="00B32748">
        <w:rPr>
          <w:b/>
          <w:i/>
          <w:sz w:val="24"/>
          <w:szCs w:val="24"/>
        </w:rPr>
        <w:t>- к подразделу "Здания (кроме жилых) "</w:t>
      </w:r>
      <w:r w:rsidRPr="00B32748">
        <w:rPr>
          <w:sz w:val="24"/>
          <w:szCs w:val="24"/>
        </w:rPr>
        <w:t xml:space="preserve"> относятся здания, представляющие собой архитектурно - строительные объекты, назначением которых является создание условий (защита от атмосферных воздействий и пр.) для труда, социально - культурного обслуживания населения и хранения материальных ценностей. Здания имеют в качестве основных конструктивных частей стены и крышу.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Объектом классификации данного подраздела является каждое отдельно стоящее здание. Если здания примыкают друг к другу и имеют общую стену, но каждое </w:t>
      </w:r>
      <w:r w:rsidRPr="00B32748">
        <w:rPr>
          <w:color w:val="000000"/>
          <w:sz w:val="24"/>
          <w:szCs w:val="24"/>
        </w:rPr>
        <w:lastRenderedPageBreak/>
        <w:t xml:space="preserve">представляет собой самостоятельное конструктивное целое, их считают отдельными объектами.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Наружные пристройки к зданию, имеющие самостоятельное хозяйственное значение, отдельно стоящие здания котельных, а также надворные постройки (склады, гаражи, ограждения, сараи, заборы, колодцы и прочее) являются самостоятельными объектами. </w:t>
      </w:r>
    </w:p>
    <w:p w:rsidR="00750BC0" w:rsidRPr="00B32748" w:rsidRDefault="00750BC0">
      <w:pPr>
        <w:pStyle w:val="20"/>
        <w:ind w:left="0" w:firstLine="360"/>
        <w:rPr>
          <w:sz w:val="24"/>
          <w:szCs w:val="24"/>
        </w:rPr>
      </w:pPr>
      <w:r w:rsidRPr="00B32748">
        <w:rPr>
          <w:sz w:val="24"/>
          <w:szCs w:val="24"/>
        </w:rPr>
        <w:t xml:space="preserve">Помещения, встроенные в здания и предназначенные для магазинов, столовых, парикмахерских, ателье, пунктов проката предметов культурно - бытового назначения и хозяйственного обихода, детских садов, яслей, отделений связи, банков и других организаций, назначение которых иное, чем основное назначение здания, входят в состав основного здания.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В состав зданий входят коммуникации внутри зданий, необходимые для их эксплуатации, как-то: система отопления, включая котельную установку для отопления (если последняя находится в самом здании); внутренняя сеть водопровода, газопровода и канализации со всеми устройствами; внутренняя сеть силовой и осветительной электропроводки со всей осветительной арматурой; внутренние телефонные и сигнализационные сети; вентиляционные устройства общесанитарного назначения; подъемники и лифты.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Встроенные котельные установки (бойлерные, тепловые пункты), включая их оборудование по принадлежности также относятся к зданиям. Основные фонды отдельно стоящих котельных относят к соответствующим разделам: "Здания (кроме жилых)", "Машины и оборудование" и др.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Водо-, газо- и теплопроводные устройства, а также устройства канализации, включают в состав зданий, начиная от вводного вентиля или тройника у зданий или от ближайшего смотрового колодца, в зависимости от места присоединения подводящего трубопровода.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Проводку электрического освещения и внутренние телефонные и сигнализационные сети включают в состав зданий, начиная от вводного ящика или кабельных концевых муфт (включая ящик и муфты), или проходных втулок (включая сами втулки).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Фундаменты под всякого рода объектами, не являющимися строениями - котлами, генераторами, станками, машинами, аппаратами и прочее, расположенными внутри зданий, - не входят в состав здания, кроме фундаментов крупногабаритного оборудования. Фундаменты этих объектов входят в состав тех объектов, в которых они используются; фундаменты крупногабаритного оборудования, сооруженные одновременно со строительством здания, входят в состав здания. Они, как и ряд других специализированных инженерно - строительных сооружений, являются неотъемлемыми составными частями самих зданий. В этой связи в наименование группировок ряда специализированных зданий, предназначенных для осуществления конкретных видов деятельности, введено словосочетание "специализированные здания".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b/>
          <w:i/>
          <w:color w:val="000000"/>
          <w:sz w:val="24"/>
          <w:szCs w:val="24"/>
        </w:rPr>
        <w:t>- к подразделу "Сооружения"</w:t>
      </w:r>
      <w:r w:rsidRPr="00B32748">
        <w:rPr>
          <w:color w:val="000000"/>
          <w:sz w:val="24"/>
          <w:szCs w:val="24"/>
        </w:rPr>
        <w:t xml:space="preserve"> относятся инженерно - строительные объекты, назначением которых является создание условий, необходимых для осуществления процесса производства путем выполнения тех или иных технических функций, не связанных с изменением предмета труда, или для осуществления различных непроизводственных функций.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Объектом, выступающим как сооружение, является каждое отдельное сооружение со всеми устройствами, составляющими с ним единое целое.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Например: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- нефтяная скважина включает в себя вышку и обсадные трубы;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- плотина включает в себя тело плотины, фильтры и дренажи, шпунты и цементационные завесы, водоспуски и водосливы с металлическими конструкциями, крепления откосов, автодороги по телу плотины, мостики, площадки, ограждения и др.;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- эстакада включает в себя фундамент, опоры, пролетные строения, настил, пути по эстакаде, ограждения;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- мост включает в себя пролетное строение, опоры, мостовое полотно (мостовые охранные брусья, контрольный и мостовой настил);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lastRenderedPageBreak/>
        <w:t xml:space="preserve">- автомобильная дорога в установленных границах включает в себя земляное полотно с укреплениями, верхнее покрытие и обстановку дороги (дорожные знаки и т.п.), другие, относящиеся к дороге, сооружения - ограждения, сходы, водосливы, кюветы, мосты длиной не более 10 м, ров;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- отдельные элементы главного железнодорожного пути каждого направления в границах дистанции пути включают в себя земляное полотно, дренажные, водоотводные и укрепительные сооружения земляного полотна, верхнее строение пути (рельсы, глухие пересечения, стрелочные переводы и др.), переезды через главные пути, которые включают ручные шлагбаумы, постоянные снеговые заборы.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В состав железнодорожных путей станций, разъездов и обгонных пунктов входят все перечисленные выше элементы железнодорожного пути всех станционных и специальных путей каждой станции, разъезда или обгонного пункта.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В состав автомобильных дорог общего пользования включают отрезок дороги, находящийся в ведении (числящийся на балансе) одной дорожной организации, независимо от административной принадлежности территории, по которой она пролегает.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К сооружениям также относятся: законченные функциональные устройства для передачи энергии и информации, такие как линии электропередачи, теплоцентрали, трубопроводы различного назначения, радиорелейные линии, кабельные линии связи, специализированные сооружения систем связи, а также ряд аналогичных объектов со всеми сопутствующими комплексами инженерных сооружений.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b/>
          <w:i/>
          <w:color w:val="000000"/>
          <w:sz w:val="24"/>
          <w:szCs w:val="24"/>
        </w:rPr>
        <w:t>- к подразделу "Жилища"</w:t>
      </w:r>
      <w:r w:rsidRPr="00B32748">
        <w:rPr>
          <w:color w:val="000000"/>
          <w:sz w:val="24"/>
          <w:szCs w:val="24"/>
        </w:rPr>
        <w:t xml:space="preserve"> относятся здания, предназначенные для невременного проживания. Подраздел включает в себя также передвижные щитовые домики, плавучие дома, прочие здания (помещения), используемые для жилья, а также исторические памятники, идентифицированные в основном как жилые дома.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Передвижные домики производственного назначения (мастерские, котельные, кухни, АТС и пр.) и непроизводственного назначения (жилые, бытовые, административные и пр.) относятся к зданиям; установленное в них оборудование относится соответственно к машинам и оборудованию или другим разделам основных фондов.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b/>
          <w:i/>
          <w:color w:val="000000"/>
          <w:sz w:val="24"/>
          <w:szCs w:val="24"/>
        </w:rPr>
        <w:t>- к подразделу "Машины и оборудование"</w:t>
      </w:r>
      <w:r w:rsidRPr="00B32748">
        <w:rPr>
          <w:color w:val="000000"/>
          <w:sz w:val="24"/>
          <w:szCs w:val="24"/>
        </w:rPr>
        <w:t xml:space="preserve"> относятся устройства, преобразующие энергию, материалы и информацию.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В зависимости от основного (преобладающего) назначения машины и оборудование делятся на энергетические (силовые), рабочие и информационные.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К энергетическому оборудованию (силовым машинам и оборудованию) относятся машины - генераторы, производящие тепловую и электрическую энергию, и машины - двигатели, превращающие энергию любого вида (энергию воды, ветра, тепловую, электрическую и т.д.) в механическую.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Объектом классификации энергетического оборудования является каждая отдельная машина (если она не является частью другого объекта), включая входящие в ее состав приспособления, принадлежности, приборы, индивидуальное ограждение, фундамент. Например, паровой котел включает в себя топку, обвязочный каркас и обмуровку, фундамент, лестницу и площадку, гарнитуру и арматуру, экономайзер (если он обслуживает только данный котел), паропровод до вентиля на магистрали, стационарные контрольно - измерительные приборы.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К рабочим машинам и оборудованию относятся: машины, инструменты, аппараты и прочие виды оборудования, предназначенные для механического, термического и химического воздействия на предмет труда (обрабатываемый предмет), который может находиться в твердом, жидком или газообразном состоянии, с целью изменения его формы, свойств, состояния или положения. Таким образом, к рабочим машинам и оборудованию относятся все виды технологического оборудования, включая автоматические машины и оборудование, для производства промышленной продукции, оборудование сельскохозяйственное, транспортное, строительное, торговое, складское, водоснабжения и канализации, санитарно - гигиеническое и другие виды машин и оборудования, кроме энергетического и информационного.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lastRenderedPageBreak/>
        <w:t xml:space="preserve">Объектом классификации рабочих машин и оборудования является каждая отдельная машина, аппарат, агрегат, установка и т.п., включая входящие в их состав принадлежности, приборы, инструменты, электрооборудование, индивидуальное ограждение, фундамент.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Например: </w:t>
      </w:r>
    </w:p>
    <w:p w:rsidR="00750BC0" w:rsidRPr="00B32748" w:rsidRDefault="00750BC0" w:rsidP="002F7B39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-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- зерноуборочный самоходный комбайн включает в себя двигатель, воздухоотборник к двигателю, цельношнековую жатку, мотовило, пальцевый отбойный битер со съемной решеткой, навесной механизированный копнитель;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К информационному оборудованию отнесено оборудование систем связи, средства измерения и управления, средства вычислительной техники и оргтехники, средства визуального и акустического отображения информации, средства хранения информации, театрально - сценическое оборудование.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К оборудованию систем связи относятся: оконечные аппараты (передающие и приемные), устройства коммутационных систем - станции, узлы, используемые для передачи информации любого вида (речевой, буквенно - цифровой, зрительной и т.п.) сигналами, распространяемыми по проводам, оптическим волокнам или радиосигналами, т.е. оборудование телефонной, телеграфной, факсимильной, телекодовой связи, кабельного радио- и телевещания. </w:t>
      </w:r>
    </w:p>
    <w:p w:rsidR="00421481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>К средствам измерения и управления относятся: измерительные приборы для анализа, обработки и представления информации (приборы и устройства для измерения толщины, диаметра, площади, массы, интервалов времени, давления, скорости, числа оборотов, мощности, напряжения, силы тока и других величин), устройства для регулирования производственных и непроизводственных процессов (регулирующие устройства электрические, пневматические и гидравлические), аппаратура блокировки, линейные устройства диспетчерского контроля, оборудование и устройства сигнализации, центральные и трансляционные пункты диспетчерского контроля, наземные радионавигационные средства вождения</w:t>
      </w:r>
      <w:r w:rsidR="00421481" w:rsidRPr="00B32748">
        <w:rPr>
          <w:color w:val="000000"/>
          <w:sz w:val="24"/>
          <w:szCs w:val="24"/>
        </w:rPr>
        <w:t>.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 К вычислительной технике относятся аналоговые и аналого - цифровые машины для автоматической обработки данных, вычислительные электронные, электромеханические и механические комплексы и машины, устройства, предназначенные для автоматизации процессов хранения, поиска и обработки данных, связанных с решением различных задач.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К оргтехнике относятся множительно - копировальная техника, офисные АТС, пишущие машины, калькуляторы и др.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Объектом классификации вычислительной техники и оргтехники считается каждая машина, укомплектованная всеми приспособлениями и принадлежностями, необходимыми для выполнения возложенных на нее функций, и не являющаяся составной частью какой-либо другой машины.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b/>
          <w:i/>
          <w:color w:val="000000"/>
          <w:sz w:val="24"/>
          <w:szCs w:val="24"/>
        </w:rPr>
        <w:t>- к подразделу "Средства транспортные"</w:t>
      </w:r>
      <w:r w:rsidRPr="00B32748">
        <w:rPr>
          <w:color w:val="000000"/>
          <w:sz w:val="24"/>
          <w:szCs w:val="24"/>
        </w:rPr>
        <w:t xml:space="preserve"> относятся: средства передвижения, предназначенные для перемещения людей и грузов, - железнодорожный подвижной состав (локомотивы, вагоны и др.); подвижной состав водного транспорта (суда транспортные всех типов, суда служебно - вспомогательные, спасательные, ледоколы, буксиры, суда лоцманские и пр.); подвижной состав автомобильного транспорта (грузовые, легковые автомобили, автобусы, троллейбусы, прицепы и полуприцепы); подвижной состав воздушного транспорта (самолеты, вертолеты, космические летательные аппараты); подвижной состав городского транспорта (вагоны метрополитена, трамваи); средства напольного производственного транспорта, а также транспортные средства прочих видов. К последним могут быть отнесены транспортные средства со специализированными кузовами, назначением которых является транспортировка грузов и людей (например, автоцистерны, молоко-, цементо-, муковозы).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Автомобили и прицепы автомобильные и тракторные, вагоны железнодорожные специализированные и переоборудованные, основным назначением которых является выполнение производственных или хозяйственно - бытовых функций, а не перевозка </w:t>
      </w:r>
      <w:r w:rsidRPr="00B32748">
        <w:rPr>
          <w:color w:val="000000"/>
          <w:sz w:val="24"/>
          <w:szCs w:val="24"/>
        </w:rPr>
        <w:lastRenderedPageBreak/>
        <w:t xml:space="preserve">грузов и людей (передвижные электростанции, передвижные трансформаторные установки, передвижные мастерские, вагоны - лаборатории, передвижные диагностические установки, вагоны - дома, передвижные кухни, столовые, магазины, душевые, клубы, конторы и т.п.), считают передвижными предприятиями соответствующего назначения, а не транспортными средствами, и учитывают как здания (по аналогии с соответствующими стационарными предприятиями) и оборудование.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В составе подраздела "Средства транспортные" объектом классификации является каждый отдельный объект со всеми приспособлениями и принадлежностями к нему. Например, локомотивы включают в себя экипажную часть, двигатели, генератор, электрооборудование, тормозное оборудование; вагон включает в себя систему отопления, проводку и арматуру освещения; теплоход включает в себя двигатели, электростанцию, радиостанцию, спасательные средства, погрузочно - разгрузочные механизмы, навигационные и измерительные приборы; автомобиль включает в себя запасное колесо (с камерой и покрышкой) и комплект инструментов; трамвайный вагон (моторный) включает в себя кузов, мотор, тормоза, измерительные приборы и набор инструментов.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b/>
          <w:i/>
          <w:color w:val="000000"/>
          <w:sz w:val="24"/>
          <w:szCs w:val="24"/>
        </w:rPr>
        <w:t>- к подразделу "Инвентарь производственный и хозяйственный"</w:t>
      </w:r>
      <w:r w:rsidRPr="00B32748">
        <w:rPr>
          <w:color w:val="000000"/>
          <w:sz w:val="24"/>
          <w:szCs w:val="24"/>
        </w:rPr>
        <w:t xml:space="preserve"> относятся: </w:t>
      </w:r>
    </w:p>
    <w:p w:rsidR="00750BC0" w:rsidRPr="00B32748" w:rsidRDefault="00750BC0">
      <w:pPr>
        <w:pStyle w:val="30"/>
        <w:spacing w:after="0"/>
        <w:ind w:left="0"/>
        <w:rPr>
          <w:sz w:val="24"/>
          <w:szCs w:val="24"/>
        </w:rPr>
      </w:pPr>
      <w:r w:rsidRPr="00B32748">
        <w:rPr>
          <w:sz w:val="24"/>
          <w:szCs w:val="24"/>
        </w:rPr>
        <w:t xml:space="preserve">- производственный инвентарь, т.е. предметы технического назначения, которые участвуют в производственном процессе, но не могут быть отнесены ни к оборудованию, ни к сооружениям. Это емкости для хранения жидкостей (чаны, бочки, баки и т.п.), устройства и тара для сыпучих, штучных и тарно - штучных материалов, не относящиеся к сооружениям, устройства и мебель, служащие для облегчения производственных операций (рабочие столы, прилавки, кроме прилавков - холодильников и тепловых прилавков, торговые шкафы, стеллажи и т.п.); </w:t>
      </w:r>
    </w:p>
    <w:p w:rsidR="00750BC0" w:rsidRPr="00B32748" w:rsidRDefault="00750BC0">
      <w:pPr>
        <w:autoSpaceDE w:val="0"/>
        <w:autoSpaceDN w:val="0"/>
        <w:adjustRightInd w:val="0"/>
        <w:ind w:firstLine="30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- хозяйственный инвентарь, т.е. предметы конторского и хозяйственного обзаведения, непосредственно не используемые в производственном процессе, - часы, предметы противопожарного назначения (кроме насосов и механических пожарных лестниц, относящихся к разделу "Машины и оборудование"), спортивный инвентарь. </w:t>
      </w:r>
    </w:p>
    <w:p w:rsidR="00750BC0" w:rsidRPr="00B32748" w:rsidRDefault="00750BC0">
      <w:pPr>
        <w:pStyle w:val="a4"/>
        <w:ind w:left="0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>Объектами классификации подраздела "Инвентарь производственный и хозяйственный" могут быть только предметы, имеющие самостоятельное назначение и не являющиеся частью какого-либо другого объекта.</w:t>
      </w:r>
    </w:p>
    <w:p w:rsidR="00750BC0" w:rsidRPr="00B32748" w:rsidRDefault="00750BC0">
      <w:pPr>
        <w:pStyle w:val="a4"/>
        <w:ind w:left="0"/>
        <w:jc w:val="both"/>
        <w:rPr>
          <w:sz w:val="24"/>
          <w:szCs w:val="24"/>
        </w:rPr>
      </w:pPr>
      <w:r w:rsidRPr="00B32748">
        <w:rPr>
          <w:sz w:val="24"/>
          <w:szCs w:val="24"/>
        </w:rPr>
        <w:t xml:space="preserve">При заключении договора на проведение ремонта либо иного мероприятия по восстановлению объекта основных средств специалистами </w:t>
      </w:r>
      <w:r w:rsidR="002F7B39" w:rsidRPr="00E23536">
        <w:rPr>
          <w:sz w:val="24"/>
          <w:szCs w:val="24"/>
        </w:rPr>
        <w:t>отдела планирования и анализа</w:t>
      </w:r>
      <w:r w:rsidRPr="00E23536">
        <w:rPr>
          <w:sz w:val="24"/>
          <w:szCs w:val="24"/>
        </w:rPr>
        <w:t xml:space="preserve"> принимается решение об отнесении расходов к подстатьям экономической классификации</w:t>
      </w:r>
      <w:r w:rsidRPr="00B32748">
        <w:rPr>
          <w:sz w:val="24"/>
          <w:szCs w:val="24"/>
        </w:rPr>
        <w:t xml:space="preserve"> расходов бюджетов РФ в зависимости от вида восстановления.</w:t>
      </w:r>
    </w:p>
    <w:p w:rsidR="00750BC0" w:rsidRPr="00B32748" w:rsidRDefault="00750BC0">
      <w:pPr>
        <w:pStyle w:val="a4"/>
        <w:jc w:val="both"/>
        <w:rPr>
          <w:sz w:val="24"/>
          <w:szCs w:val="24"/>
        </w:rPr>
      </w:pPr>
    </w:p>
    <w:p w:rsidR="00750BC0" w:rsidRPr="00B32748" w:rsidRDefault="00750BC0">
      <w:pPr>
        <w:rPr>
          <w:sz w:val="24"/>
          <w:szCs w:val="24"/>
        </w:rPr>
      </w:pPr>
    </w:p>
    <w:sectPr w:rsidR="00750BC0" w:rsidRPr="00B32748" w:rsidSect="00455B2B">
      <w:footerReference w:type="even" r:id="rId6"/>
      <w:footerReference w:type="default" r:id="rId7"/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F8A" w:rsidRDefault="00347F8A">
      <w:r>
        <w:separator/>
      </w:r>
    </w:p>
  </w:endnote>
  <w:endnote w:type="continuationSeparator" w:id="1">
    <w:p w:rsidR="00347F8A" w:rsidRDefault="00347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BC0" w:rsidRDefault="005F60A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50BC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50BC0" w:rsidRDefault="00750BC0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BC0" w:rsidRDefault="005F60A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50BC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711F2">
      <w:rPr>
        <w:rStyle w:val="a6"/>
        <w:noProof/>
      </w:rPr>
      <w:t>1</w:t>
    </w:r>
    <w:r>
      <w:rPr>
        <w:rStyle w:val="a6"/>
      </w:rPr>
      <w:fldChar w:fldCharType="end"/>
    </w:r>
  </w:p>
  <w:p w:rsidR="00750BC0" w:rsidRDefault="00750BC0">
    <w:pPr>
      <w:pStyle w:val="a5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F8A" w:rsidRDefault="00347F8A">
      <w:r>
        <w:separator/>
      </w:r>
    </w:p>
  </w:footnote>
  <w:footnote w:type="continuationSeparator" w:id="1">
    <w:p w:rsidR="00347F8A" w:rsidRDefault="00347F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7166"/>
    <w:rsid w:val="0004502F"/>
    <w:rsid w:val="00064463"/>
    <w:rsid w:val="00085FC7"/>
    <w:rsid w:val="00096617"/>
    <w:rsid w:val="000B01A1"/>
    <w:rsid w:val="001D5809"/>
    <w:rsid w:val="002F7B39"/>
    <w:rsid w:val="0030336D"/>
    <w:rsid w:val="00331461"/>
    <w:rsid w:val="00347F8A"/>
    <w:rsid w:val="003718F2"/>
    <w:rsid w:val="00390A4D"/>
    <w:rsid w:val="00421481"/>
    <w:rsid w:val="00455B2B"/>
    <w:rsid w:val="00486C50"/>
    <w:rsid w:val="004B3E11"/>
    <w:rsid w:val="00531A86"/>
    <w:rsid w:val="00535C63"/>
    <w:rsid w:val="00566ED0"/>
    <w:rsid w:val="0058114F"/>
    <w:rsid w:val="005848DB"/>
    <w:rsid w:val="005F60A0"/>
    <w:rsid w:val="0065691D"/>
    <w:rsid w:val="006B5DD8"/>
    <w:rsid w:val="00750BC0"/>
    <w:rsid w:val="009105AC"/>
    <w:rsid w:val="00957166"/>
    <w:rsid w:val="009646F8"/>
    <w:rsid w:val="009711F2"/>
    <w:rsid w:val="0098558F"/>
    <w:rsid w:val="00A070AB"/>
    <w:rsid w:val="00B035DF"/>
    <w:rsid w:val="00B32748"/>
    <w:rsid w:val="00B879AA"/>
    <w:rsid w:val="00B87B58"/>
    <w:rsid w:val="00C13261"/>
    <w:rsid w:val="00C35432"/>
    <w:rsid w:val="00D24E5C"/>
    <w:rsid w:val="00D338AC"/>
    <w:rsid w:val="00D6581B"/>
    <w:rsid w:val="00DA3B30"/>
    <w:rsid w:val="00DB27DD"/>
    <w:rsid w:val="00E23536"/>
    <w:rsid w:val="00E6357B"/>
    <w:rsid w:val="00F54A5E"/>
    <w:rsid w:val="00F72837"/>
    <w:rsid w:val="00F73971"/>
    <w:rsid w:val="00FA5961"/>
    <w:rsid w:val="00FD7D28"/>
    <w:rsid w:val="00FE0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B2B"/>
  </w:style>
  <w:style w:type="paragraph" w:styleId="1">
    <w:name w:val="heading 1"/>
    <w:basedOn w:val="a"/>
    <w:next w:val="a"/>
    <w:qFormat/>
    <w:rsid w:val="00455B2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rsid w:val="00455B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55B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5B2B"/>
    <w:pPr>
      <w:jc w:val="center"/>
    </w:pPr>
    <w:rPr>
      <w:sz w:val="28"/>
    </w:rPr>
  </w:style>
  <w:style w:type="paragraph" w:styleId="a4">
    <w:name w:val="Body Text Indent"/>
    <w:basedOn w:val="a"/>
    <w:semiHidden/>
    <w:rsid w:val="00455B2B"/>
    <w:pPr>
      <w:ind w:left="426" w:hanging="426"/>
    </w:pPr>
  </w:style>
  <w:style w:type="paragraph" w:styleId="20">
    <w:name w:val="Body Text Indent 2"/>
    <w:basedOn w:val="a"/>
    <w:semiHidden/>
    <w:rsid w:val="00455B2B"/>
    <w:pPr>
      <w:ind w:left="720" w:firstLine="720"/>
      <w:jc w:val="both"/>
    </w:pPr>
  </w:style>
  <w:style w:type="paragraph" w:customStyle="1" w:styleId="ConsNormal">
    <w:name w:val="ConsNormal"/>
    <w:rsid w:val="00455B2B"/>
    <w:pPr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styleId="a5">
    <w:name w:val="footer"/>
    <w:basedOn w:val="a"/>
    <w:semiHidden/>
    <w:rsid w:val="00455B2B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455B2B"/>
  </w:style>
  <w:style w:type="paragraph" w:styleId="a7">
    <w:name w:val="Body Text"/>
    <w:basedOn w:val="a"/>
    <w:semiHidden/>
    <w:rsid w:val="00455B2B"/>
    <w:pPr>
      <w:spacing w:after="120"/>
    </w:pPr>
  </w:style>
  <w:style w:type="paragraph" w:styleId="21">
    <w:name w:val="Body Text 2"/>
    <w:basedOn w:val="a"/>
    <w:semiHidden/>
    <w:rsid w:val="00455B2B"/>
    <w:pPr>
      <w:spacing w:after="120" w:line="480" w:lineRule="auto"/>
    </w:pPr>
  </w:style>
  <w:style w:type="paragraph" w:styleId="30">
    <w:name w:val="Body Text Indent 3"/>
    <w:basedOn w:val="a"/>
    <w:semiHidden/>
    <w:rsid w:val="00455B2B"/>
    <w:pPr>
      <w:spacing w:after="120"/>
      <w:ind w:left="283"/>
    </w:pPr>
    <w:rPr>
      <w:sz w:val="16"/>
      <w:szCs w:val="16"/>
    </w:rPr>
  </w:style>
  <w:style w:type="paragraph" w:styleId="a8">
    <w:name w:val="Block Text"/>
    <w:basedOn w:val="a"/>
    <w:semiHidden/>
    <w:rsid w:val="00455B2B"/>
    <w:pPr>
      <w:ind w:left="540" w:right="45"/>
      <w:jc w:val="both"/>
    </w:pPr>
  </w:style>
  <w:style w:type="character" w:customStyle="1" w:styleId="a9">
    <w:name w:val="Гипертекстовая ссылка"/>
    <w:basedOn w:val="a0"/>
    <w:rsid w:val="00455B2B"/>
    <w:rPr>
      <w:color w:val="008000"/>
      <w:u w:val="single"/>
    </w:rPr>
  </w:style>
  <w:style w:type="paragraph" w:customStyle="1" w:styleId="aa">
    <w:name w:val="Таблицы (моноширинный)"/>
    <w:basedOn w:val="a"/>
    <w:next w:val="a"/>
    <w:rsid w:val="00455B2B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b">
    <w:name w:val="header"/>
    <w:basedOn w:val="a"/>
    <w:semiHidden/>
    <w:rsid w:val="00455B2B"/>
    <w:pPr>
      <w:tabs>
        <w:tab w:val="center" w:pos="4677"/>
        <w:tab w:val="right" w:pos="9355"/>
      </w:tabs>
    </w:pPr>
  </w:style>
  <w:style w:type="paragraph" w:customStyle="1" w:styleId="10">
    <w:name w:val="Обычный1"/>
    <w:rsid w:val="00455B2B"/>
  </w:style>
  <w:style w:type="paragraph" w:customStyle="1" w:styleId="ConsPlusNormal">
    <w:name w:val="ConsPlusNormal"/>
    <w:rsid w:val="00455B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2">
    <w:name w:val="Основной текст (2)_"/>
    <w:basedOn w:val="a0"/>
    <w:link w:val="23"/>
    <w:uiPriority w:val="99"/>
    <w:locked/>
    <w:rsid w:val="0098558F"/>
    <w:rPr>
      <w:b/>
      <w:bCs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98558F"/>
    <w:pPr>
      <w:shd w:val="clear" w:color="auto" w:fill="FFFFFF"/>
      <w:spacing w:after="420" w:line="240" w:lineRule="atLeast"/>
    </w:pPr>
    <w:rPr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8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3049</Words>
  <Characters>17383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№14</vt:lpstr>
    </vt:vector>
  </TitlesOfParts>
  <Company>Work</Company>
  <LinksUpToDate>false</LinksUpToDate>
  <CharactersWithSpaces>20392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№14</dc:title>
  <dc:creator>user5</dc:creator>
  <cp:lastModifiedBy>user</cp:lastModifiedBy>
  <cp:revision>3</cp:revision>
  <cp:lastPrinted>2016-06-30T11:44:00Z</cp:lastPrinted>
  <dcterms:created xsi:type="dcterms:W3CDTF">2020-01-10T05:53:00Z</dcterms:created>
  <dcterms:modified xsi:type="dcterms:W3CDTF">2020-01-10T11:09:00Z</dcterms:modified>
</cp:coreProperties>
</file>